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56" w:rsidRDefault="00146D56" w:rsidP="00146D56">
      <w:pPr>
        <w:pStyle w:val="NormalWeb"/>
        <w:spacing w:before="0" w:beforeAutospacing="0" w:after="0" w:afterAutospacing="0"/>
        <w:ind w:left="-284" w:right="-427"/>
        <w:jc w:val="both"/>
        <w:rPr>
          <w:rStyle w:val="Textoennegrita"/>
          <w:rFonts w:ascii="Arial" w:hAnsi="Arial" w:cs="Arial"/>
          <w:sz w:val="22"/>
          <w:szCs w:val="22"/>
        </w:rPr>
      </w:pPr>
      <w:bookmarkStart w:id="0" w:name="_GoBack"/>
      <w:bookmarkEnd w:id="0"/>
      <w:r>
        <w:rPr>
          <w:noProof/>
        </w:rPr>
        <w:drawing>
          <wp:anchor distT="0" distB="0" distL="114300" distR="114300" simplePos="0" relativeHeight="251659264" behindDoc="0" locked="0" layoutInCell="1" allowOverlap="1" wp14:anchorId="62A493D7" wp14:editId="5EC87772">
            <wp:simplePos x="0" y="0"/>
            <wp:positionH relativeFrom="margin">
              <wp:posOffset>-238125</wp:posOffset>
            </wp:positionH>
            <wp:positionV relativeFrom="paragraph">
              <wp:posOffset>19050</wp:posOffset>
            </wp:positionV>
            <wp:extent cx="5941695" cy="66675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695" cy="666750"/>
                    </a:xfrm>
                    <a:prstGeom prst="rect">
                      <a:avLst/>
                    </a:prstGeom>
                    <a:noFill/>
                  </pic:spPr>
                </pic:pic>
              </a:graphicData>
            </a:graphic>
            <wp14:sizeRelH relativeFrom="page">
              <wp14:pctWidth>0</wp14:pctWidth>
            </wp14:sizeRelH>
            <wp14:sizeRelV relativeFrom="page">
              <wp14:pctHeight>0</wp14:pctHeight>
            </wp14:sizeRelV>
          </wp:anchor>
        </w:drawing>
      </w:r>
    </w:p>
    <w:p w:rsidR="00146D56" w:rsidRPr="0088664A" w:rsidRDefault="00146D56" w:rsidP="00146D56">
      <w:pPr>
        <w:pStyle w:val="NormalWeb"/>
        <w:spacing w:before="0" w:beforeAutospacing="0" w:after="0" w:afterAutospacing="0"/>
        <w:ind w:left="-284" w:right="-427"/>
        <w:jc w:val="both"/>
        <w:rPr>
          <w:rFonts w:ascii="Bookman Old Style" w:hAnsi="Bookman Old Style" w:cs="Arial"/>
          <w:sz w:val="22"/>
          <w:szCs w:val="22"/>
        </w:rPr>
      </w:pPr>
      <w:r w:rsidRPr="0088664A">
        <w:rPr>
          <w:rStyle w:val="Textoennegrita"/>
          <w:rFonts w:ascii="Bookman Old Style" w:hAnsi="Bookman Old Style" w:cs="Arial"/>
          <w:sz w:val="22"/>
          <w:szCs w:val="22"/>
        </w:rPr>
        <w:t>COMUNICADO DE PRENSA</w:t>
      </w:r>
    </w:p>
    <w:p w:rsidR="00146D56" w:rsidRPr="0088664A" w:rsidRDefault="00146D56" w:rsidP="00146D56">
      <w:pPr>
        <w:pStyle w:val="NormalWeb"/>
        <w:spacing w:before="0" w:beforeAutospacing="0" w:after="0" w:afterAutospacing="0"/>
        <w:ind w:left="-284" w:right="-427"/>
        <w:jc w:val="both"/>
        <w:rPr>
          <w:rFonts w:ascii="Bookman Old Style" w:hAnsi="Bookman Old Style" w:cs="Arial"/>
          <w:sz w:val="22"/>
          <w:szCs w:val="22"/>
        </w:rPr>
      </w:pPr>
    </w:p>
    <w:p w:rsidR="00146D56" w:rsidRPr="0088664A" w:rsidRDefault="00146D56" w:rsidP="00146D56">
      <w:pPr>
        <w:pStyle w:val="NormalWeb"/>
        <w:spacing w:before="0" w:beforeAutospacing="0" w:after="0" w:afterAutospacing="0"/>
        <w:ind w:left="-284" w:right="-427"/>
        <w:jc w:val="both"/>
        <w:rPr>
          <w:rFonts w:ascii="Bookman Old Style" w:hAnsi="Bookman Old Style" w:cs="Arial"/>
          <w:sz w:val="22"/>
          <w:szCs w:val="22"/>
        </w:rPr>
      </w:pPr>
      <w:r w:rsidRPr="0088664A">
        <w:rPr>
          <w:rFonts w:ascii="Bookman Old Style" w:hAnsi="Bookman Old Style" w:cs="Arial"/>
          <w:sz w:val="22"/>
          <w:szCs w:val="22"/>
        </w:rPr>
        <w:t xml:space="preserve">Quito, </w:t>
      </w:r>
      <w:r w:rsidR="0088664A" w:rsidRPr="0088664A">
        <w:rPr>
          <w:rFonts w:ascii="Bookman Old Style" w:hAnsi="Bookman Old Style" w:cs="Arial"/>
          <w:sz w:val="22"/>
          <w:szCs w:val="22"/>
        </w:rPr>
        <w:t xml:space="preserve">6 </w:t>
      </w:r>
      <w:r w:rsidRPr="0088664A">
        <w:rPr>
          <w:rFonts w:ascii="Bookman Old Style" w:hAnsi="Bookman Old Style" w:cs="Arial"/>
          <w:sz w:val="22"/>
          <w:szCs w:val="22"/>
        </w:rPr>
        <w:t xml:space="preserve">de </w:t>
      </w:r>
      <w:r w:rsidR="0088664A" w:rsidRPr="0088664A">
        <w:rPr>
          <w:rFonts w:ascii="Bookman Old Style" w:hAnsi="Bookman Old Style" w:cs="Arial"/>
          <w:sz w:val="22"/>
          <w:szCs w:val="22"/>
        </w:rPr>
        <w:t xml:space="preserve">junio </w:t>
      </w:r>
      <w:r w:rsidRPr="0088664A">
        <w:rPr>
          <w:rFonts w:ascii="Bookman Old Style" w:hAnsi="Bookman Old Style" w:cs="Arial"/>
          <w:sz w:val="22"/>
          <w:szCs w:val="22"/>
        </w:rPr>
        <w:t xml:space="preserve"> de 2016</w:t>
      </w:r>
    </w:p>
    <w:p w:rsidR="00146D56" w:rsidRPr="0088664A" w:rsidRDefault="00146D56" w:rsidP="00146D56">
      <w:pPr>
        <w:pStyle w:val="NormalWeb"/>
        <w:spacing w:before="0" w:beforeAutospacing="0" w:after="0" w:afterAutospacing="0"/>
        <w:ind w:left="-284" w:right="-427"/>
        <w:jc w:val="both"/>
        <w:rPr>
          <w:rFonts w:ascii="Bookman Old Style" w:hAnsi="Bookman Old Style" w:cs="Arial"/>
          <w:sz w:val="22"/>
          <w:szCs w:val="22"/>
        </w:rPr>
      </w:pPr>
    </w:p>
    <w:p w:rsidR="00C364A1" w:rsidRDefault="00146D56" w:rsidP="00C364A1">
      <w:pPr>
        <w:pStyle w:val="NormalWeb"/>
        <w:spacing w:before="0" w:beforeAutospacing="0" w:after="0" w:afterAutospacing="0"/>
        <w:ind w:left="-284" w:right="-427"/>
        <w:jc w:val="both"/>
        <w:rPr>
          <w:rFonts w:ascii="Bookman Old Style" w:hAnsi="Bookman Old Style" w:cs="Arial"/>
          <w:sz w:val="22"/>
          <w:szCs w:val="22"/>
        </w:rPr>
      </w:pPr>
      <w:r w:rsidRPr="0088664A">
        <w:rPr>
          <w:rFonts w:ascii="Bookman Old Style" w:hAnsi="Bookman Old Style" w:cs="Arial"/>
          <w:sz w:val="22"/>
          <w:szCs w:val="22"/>
        </w:rPr>
        <w:t>UCS/</w:t>
      </w:r>
      <w:r w:rsidR="0088664A" w:rsidRPr="0088664A">
        <w:rPr>
          <w:rFonts w:ascii="Bookman Old Style" w:hAnsi="Bookman Old Style" w:cs="Arial"/>
          <w:sz w:val="22"/>
          <w:szCs w:val="22"/>
        </w:rPr>
        <w:t xml:space="preserve">14 </w:t>
      </w:r>
    </w:p>
    <w:p w:rsidR="00C364A1" w:rsidRDefault="00C364A1" w:rsidP="00C364A1">
      <w:pPr>
        <w:pStyle w:val="NormalWeb"/>
        <w:spacing w:before="0" w:beforeAutospacing="0" w:after="0" w:afterAutospacing="0"/>
        <w:ind w:left="-284" w:right="-427"/>
        <w:jc w:val="both"/>
        <w:rPr>
          <w:rFonts w:ascii="Bookman Old Style" w:hAnsi="Bookman Old Style" w:cs="Arial"/>
          <w:sz w:val="22"/>
          <w:szCs w:val="22"/>
        </w:rPr>
      </w:pPr>
    </w:p>
    <w:p w:rsidR="00C364A1" w:rsidRPr="00C364A1" w:rsidRDefault="00C364A1" w:rsidP="00C364A1">
      <w:pPr>
        <w:pStyle w:val="NormalWeb"/>
        <w:spacing w:before="0" w:beforeAutospacing="0" w:after="0" w:afterAutospacing="0"/>
        <w:ind w:left="-284" w:right="-427"/>
        <w:jc w:val="both"/>
        <w:rPr>
          <w:rFonts w:ascii="Arial" w:hAnsi="Arial" w:cs="Arial"/>
          <w:i/>
          <w:sz w:val="22"/>
          <w:szCs w:val="22"/>
          <w:lang w:val="en-US"/>
        </w:rPr>
      </w:pPr>
      <w:r w:rsidRPr="00C364A1">
        <w:rPr>
          <w:rFonts w:ascii="Arial" w:hAnsi="Arial" w:cs="Arial"/>
          <w:i/>
          <w:sz w:val="22"/>
          <w:szCs w:val="22"/>
          <w:lang w:val="en-US"/>
        </w:rPr>
        <w:t>Laudo de USD 96 millones fue emitido en 2011</w:t>
      </w:r>
    </w:p>
    <w:p w:rsidR="00C364A1" w:rsidRPr="00C364A1" w:rsidRDefault="00C364A1" w:rsidP="00C364A1">
      <w:pPr>
        <w:pStyle w:val="NormalWeb"/>
        <w:spacing w:before="0" w:beforeAutospacing="0" w:after="0" w:afterAutospacing="0"/>
        <w:ind w:left="-284" w:right="-427"/>
        <w:jc w:val="both"/>
        <w:rPr>
          <w:rFonts w:ascii="Bookman Old Style" w:hAnsi="Bookman Old Style" w:cs="Arial"/>
          <w:sz w:val="22"/>
          <w:szCs w:val="22"/>
        </w:rPr>
      </w:pPr>
      <w:r w:rsidRPr="00C364A1">
        <w:rPr>
          <w:rFonts w:ascii="Arial" w:hAnsi="Arial" w:cs="Arial"/>
          <w:b/>
          <w:sz w:val="22"/>
          <w:szCs w:val="22"/>
          <w:lang w:val="en-US"/>
        </w:rPr>
        <w:t>Corte de Justicia de Estados Unidos niega revisión de sentencia en caso Chevrón II</w:t>
      </w:r>
    </w:p>
    <w:p w:rsidR="00C364A1" w:rsidRPr="00C364A1" w:rsidRDefault="00C364A1" w:rsidP="00C364A1">
      <w:pPr>
        <w:pStyle w:val="NormalWeb"/>
        <w:ind w:left="-284" w:right="-427"/>
        <w:jc w:val="both"/>
        <w:rPr>
          <w:rFonts w:ascii="Arial" w:hAnsi="Arial" w:cs="Arial"/>
          <w:sz w:val="22"/>
          <w:szCs w:val="22"/>
        </w:rPr>
      </w:pPr>
      <w:r w:rsidRPr="00C364A1">
        <w:rPr>
          <w:rFonts w:ascii="Arial" w:hAnsi="Arial" w:cs="Arial"/>
          <w:sz w:val="22"/>
          <w:szCs w:val="22"/>
        </w:rPr>
        <w:t xml:space="preserve">El día de hoy 6 de junio de 2016, la Corte Suprema de Justicia de los Estados Unidos de América negó la petición del Ecuador de revisión de la sentencia emitida por la Corte de Apelaciones del Circuito del Distrito de Columbia, instancia que reconoció el laudo arbitral que dictaminó, en el año 2011,  el pago de USD 96 millones en el caso Chevron Corporation y Texaco Petroleum Company contra la República del Ecuador, conocido como Chevron II. </w:t>
      </w:r>
    </w:p>
    <w:p w:rsidR="00C364A1" w:rsidRPr="00C364A1" w:rsidRDefault="00C364A1" w:rsidP="00C364A1">
      <w:pPr>
        <w:pStyle w:val="NormalWeb"/>
        <w:ind w:left="-284" w:right="-427"/>
        <w:jc w:val="both"/>
        <w:rPr>
          <w:rFonts w:ascii="Arial" w:hAnsi="Arial" w:cs="Arial"/>
          <w:sz w:val="22"/>
          <w:szCs w:val="22"/>
        </w:rPr>
      </w:pPr>
      <w:r w:rsidRPr="00C364A1">
        <w:rPr>
          <w:rFonts w:ascii="Arial" w:hAnsi="Arial" w:cs="Arial"/>
          <w:sz w:val="22"/>
          <w:szCs w:val="22"/>
        </w:rPr>
        <w:t xml:space="preserve">El laudo arbitral materia de la discusión judicial en los Estados Unidos de América, fue emitido dentro del arbitraje iniciado por Chevron Corporation y Texaco Petroleum Company en contra de la República del Ecuador en el año 2006  y terminó en el año 2011. Dicho laudo arbitral que redujo considerablemente la pretensión de Chevron Corporation de USD 1.605 millones a USD 96 millones de dólares, fue objeto de una acción de nulidad iniciada por parte del Ecuador ante las cortes de La Haya en el año 2011,  la misma que fue desestimada por la Corte Suprema de los Países Bajos en el año 2014. A la par, Chevron inició en el año 2012 un proceso en los Estados Unidos de América con miras a lograr el reconocimiento y ejecución del mismo laudo arbitral, el mismo que ha terminado ahora con la negativa de revisión de la Corte Suprema de los Estados Unidos. </w:t>
      </w:r>
    </w:p>
    <w:p w:rsidR="00C364A1" w:rsidRPr="00C364A1" w:rsidRDefault="00C364A1" w:rsidP="00C364A1">
      <w:pPr>
        <w:pStyle w:val="NormalWeb"/>
        <w:ind w:left="-284" w:right="-427"/>
        <w:jc w:val="both"/>
        <w:rPr>
          <w:rFonts w:ascii="Arial" w:hAnsi="Arial" w:cs="Arial"/>
          <w:sz w:val="22"/>
          <w:szCs w:val="22"/>
        </w:rPr>
      </w:pPr>
      <w:r w:rsidRPr="00C364A1">
        <w:rPr>
          <w:rFonts w:ascii="Arial" w:hAnsi="Arial" w:cs="Arial"/>
          <w:sz w:val="22"/>
          <w:szCs w:val="22"/>
        </w:rPr>
        <w:t>El Procurador General del Estado rechazó la negativa a admitir el pedido de revisión presentado por la defensa del Estado ante la decisión de la Corte de Apelaciones ya que con ello se ha permitido que subsista el error de interpretación de los jueces inferiores que se negaron a aplicar la Ley de Inmunidad Soberana de los Estados Unidos que les hubiese obligado a examinar la existencia de un Tratado de protección de inversiones que ampare a Chevron. De haberlo hecho, seguramente habrían encontrado la incongruencia de proteger una inversión que terminó antes de la vigencia del Tratado.</w:t>
      </w:r>
    </w:p>
    <w:p w:rsidR="00C364A1" w:rsidRPr="00C364A1" w:rsidRDefault="00C364A1" w:rsidP="00C364A1">
      <w:pPr>
        <w:pStyle w:val="NormalWeb"/>
        <w:ind w:left="-284" w:right="-427"/>
        <w:jc w:val="both"/>
        <w:rPr>
          <w:rFonts w:ascii="Bookman Old Style" w:hAnsi="Bookman Old Style" w:cs="Arial"/>
        </w:rPr>
      </w:pPr>
      <w:r w:rsidRPr="00C364A1">
        <w:rPr>
          <w:rFonts w:ascii="Arial" w:hAnsi="Arial" w:cs="Arial"/>
          <w:sz w:val="22"/>
          <w:szCs w:val="22"/>
        </w:rPr>
        <w:t>El  monto que el Estado ecuatoriano debe pagar, conforme al laudo arbitral, fue objeto de una orden de embargo de crédito dictada en octubre de 2012 por la Presidencia de la Corte Provincial de Sucumbíos en favor de los miembros de la comunidad de Lago Agrio que presentaron una demanda de daño ambiental en el 2003 contra Chevron Corporation, proceso judicial del que el Estado no es parte.</w:t>
      </w:r>
    </w:p>
    <w:p w:rsidR="0075050B" w:rsidRPr="0088664A" w:rsidRDefault="00ED3411" w:rsidP="00146D56">
      <w:pPr>
        <w:pStyle w:val="NormalWeb"/>
        <w:spacing w:before="0" w:beforeAutospacing="0" w:after="0" w:afterAutospacing="0"/>
        <w:ind w:left="-284" w:right="-427"/>
        <w:jc w:val="both"/>
        <w:rPr>
          <w:rFonts w:ascii="Bookman Old Style" w:hAnsi="Bookman Old Style" w:cs="Arial"/>
          <w:sz w:val="22"/>
          <w:szCs w:val="22"/>
        </w:rPr>
      </w:pPr>
      <w:r w:rsidRPr="0088664A">
        <w:rPr>
          <w:rFonts w:ascii="Bookman Old Style" w:hAnsi="Bookman Old Style" w:cs="Arial"/>
          <w:sz w:val="22"/>
          <w:szCs w:val="22"/>
        </w:rPr>
        <w:t xml:space="preserve"> </w:t>
      </w:r>
    </w:p>
    <w:p w:rsidR="00146D56" w:rsidRPr="0088664A" w:rsidRDefault="00146D56" w:rsidP="00146D56">
      <w:pPr>
        <w:pStyle w:val="NormalWeb"/>
        <w:spacing w:before="0" w:beforeAutospacing="0" w:after="0" w:afterAutospacing="0"/>
        <w:ind w:left="-284" w:right="-427"/>
        <w:jc w:val="center"/>
        <w:rPr>
          <w:rFonts w:ascii="Bookman Old Style" w:hAnsi="Bookman Old Style" w:cs="Arial"/>
          <w:sz w:val="22"/>
          <w:szCs w:val="22"/>
        </w:rPr>
      </w:pPr>
      <w:r w:rsidRPr="0088664A">
        <w:rPr>
          <w:rStyle w:val="Textoennegrita"/>
          <w:rFonts w:ascii="Bookman Old Style" w:hAnsi="Bookman Old Style" w:cs="Arial"/>
          <w:sz w:val="22"/>
          <w:szCs w:val="22"/>
        </w:rPr>
        <w:t>COMUNICACIÓN SOCIAL</w:t>
      </w:r>
    </w:p>
    <w:p w:rsidR="00146D56" w:rsidRDefault="00146D56" w:rsidP="00146D56">
      <w:pPr>
        <w:pStyle w:val="NormalWeb"/>
        <w:spacing w:before="0" w:beforeAutospacing="0" w:after="0" w:afterAutospacing="0"/>
        <w:ind w:left="-284" w:right="-427"/>
        <w:jc w:val="center"/>
        <w:rPr>
          <w:rFonts w:ascii="Arial" w:hAnsi="Arial" w:cs="Arial"/>
          <w:sz w:val="22"/>
          <w:szCs w:val="22"/>
        </w:rPr>
      </w:pPr>
      <w:r w:rsidRPr="0088664A">
        <w:rPr>
          <w:rFonts w:ascii="Bookman Old Style" w:hAnsi="Bookman Old Style" w:cs="Arial"/>
          <w:sz w:val="22"/>
          <w:szCs w:val="22"/>
        </w:rPr>
        <w:t>      Teléfono: (02) 2 94 1300 EXT. 2321 / 2342</w:t>
      </w:r>
    </w:p>
    <w:p w:rsidR="002868FA" w:rsidRDefault="00146D56" w:rsidP="00146D56">
      <w:pPr>
        <w:pStyle w:val="NormalWeb"/>
        <w:spacing w:before="0" w:beforeAutospacing="0" w:after="0" w:afterAutospacing="0"/>
        <w:ind w:left="-284" w:right="-427"/>
        <w:jc w:val="center"/>
      </w:pPr>
      <w:r>
        <w:rPr>
          <w:noProof/>
        </w:rPr>
        <w:drawing>
          <wp:anchor distT="0" distB="0" distL="114300" distR="114300" simplePos="0" relativeHeight="251660288" behindDoc="0" locked="0" layoutInCell="1" allowOverlap="1" wp14:anchorId="4B9B302C" wp14:editId="1B93E712">
            <wp:simplePos x="0" y="0"/>
            <wp:positionH relativeFrom="margin">
              <wp:posOffset>-194310</wp:posOffset>
            </wp:positionH>
            <wp:positionV relativeFrom="paragraph">
              <wp:posOffset>164465</wp:posOffset>
            </wp:positionV>
            <wp:extent cx="6022975" cy="314325"/>
            <wp:effectExtent l="0" t="0" r="0"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2975" cy="314325"/>
                    </a:xfrm>
                    <a:prstGeom prst="rect">
                      <a:avLst/>
                    </a:prstGeom>
                    <a:noFill/>
                  </pic:spPr>
                </pic:pic>
              </a:graphicData>
            </a:graphic>
            <wp14:sizeRelH relativeFrom="page">
              <wp14:pctWidth>0</wp14:pctWidth>
            </wp14:sizeRelH>
            <wp14:sizeRelV relativeFrom="page">
              <wp14:pctHeight>0</wp14:pctHeight>
            </wp14:sizeRelV>
          </wp:anchor>
        </w:drawing>
      </w:r>
    </w:p>
    <w:sectPr w:rsidR="002868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6"/>
    <w:rsid w:val="00026D3D"/>
    <w:rsid w:val="00146D56"/>
    <w:rsid w:val="00253BAC"/>
    <w:rsid w:val="005E1894"/>
    <w:rsid w:val="0075050B"/>
    <w:rsid w:val="007F7D9C"/>
    <w:rsid w:val="0088664A"/>
    <w:rsid w:val="009A0D72"/>
    <w:rsid w:val="00A26362"/>
    <w:rsid w:val="00AF7925"/>
    <w:rsid w:val="00B25228"/>
    <w:rsid w:val="00C364A1"/>
    <w:rsid w:val="00C676E8"/>
    <w:rsid w:val="00CD0DFF"/>
    <w:rsid w:val="00DE4B4B"/>
    <w:rsid w:val="00ED3411"/>
    <w:rsid w:val="00F554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6D5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46D56"/>
    <w:rPr>
      <w:b/>
      <w:bCs/>
    </w:rPr>
  </w:style>
  <w:style w:type="paragraph" w:styleId="Sinespaciado">
    <w:name w:val="No Spacing"/>
    <w:uiPriority w:val="1"/>
    <w:qFormat/>
    <w:rsid w:val="00C364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6D5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46D56"/>
    <w:rPr>
      <w:b/>
      <w:bCs/>
    </w:rPr>
  </w:style>
  <w:style w:type="paragraph" w:styleId="Sinespaciado">
    <w:name w:val="No Spacing"/>
    <w:uiPriority w:val="1"/>
    <w:qFormat/>
    <w:rsid w:val="00C36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231">
      <w:bodyDiv w:val="1"/>
      <w:marLeft w:val="0"/>
      <w:marRight w:val="0"/>
      <w:marTop w:val="0"/>
      <w:marBottom w:val="0"/>
      <w:divBdr>
        <w:top w:val="none" w:sz="0" w:space="0" w:color="auto"/>
        <w:left w:val="none" w:sz="0" w:space="0" w:color="auto"/>
        <w:bottom w:val="none" w:sz="0" w:space="0" w:color="auto"/>
        <w:right w:val="none" w:sz="0" w:space="0" w:color="auto"/>
      </w:divBdr>
      <w:divsChild>
        <w:div w:id="2078822353">
          <w:marLeft w:val="0"/>
          <w:marRight w:val="0"/>
          <w:marTop w:val="0"/>
          <w:marBottom w:val="0"/>
          <w:divBdr>
            <w:top w:val="none" w:sz="0" w:space="0" w:color="auto"/>
            <w:left w:val="none" w:sz="0" w:space="0" w:color="auto"/>
            <w:bottom w:val="none" w:sz="0" w:space="0" w:color="auto"/>
            <w:right w:val="none" w:sz="0" w:space="0" w:color="auto"/>
          </w:divBdr>
        </w:div>
        <w:div w:id="499394991">
          <w:marLeft w:val="0"/>
          <w:marRight w:val="0"/>
          <w:marTop w:val="0"/>
          <w:marBottom w:val="0"/>
          <w:divBdr>
            <w:top w:val="none" w:sz="0" w:space="0" w:color="auto"/>
            <w:left w:val="none" w:sz="0" w:space="0" w:color="auto"/>
            <w:bottom w:val="none" w:sz="0" w:space="0" w:color="auto"/>
            <w:right w:val="none" w:sz="0" w:space="0" w:color="auto"/>
          </w:divBdr>
        </w:div>
        <w:div w:id="836269648">
          <w:marLeft w:val="0"/>
          <w:marRight w:val="0"/>
          <w:marTop w:val="0"/>
          <w:marBottom w:val="0"/>
          <w:divBdr>
            <w:top w:val="none" w:sz="0" w:space="0" w:color="auto"/>
            <w:left w:val="none" w:sz="0" w:space="0" w:color="auto"/>
            <w:bottom w:val="none" w:sz="0" w:space="0" w:color="auto"/>
            <w:right w:val="none" w:sz="0" w:space="0" w:color="auto"/>
          </w:divBdr>
        </w:div>
      </w:divsChild>
    </w:div>
    <w:div w:id="125127449">
      <w:bodyDiv w:val="1"/>
      <w:marLeft w:val="0"/>
      <w:marRight w:val="0"/>
      <w:marTop w:val="0"/>
      <w:marBottom w:val="0"/>
      <w:divBdr>
        <w:top w:val="none" w:sz="0" w:space="0" w:color="auto"/>
        <w:left w:val="none" w:sz="0" w:space="0" w:color="auto"/>
        <w:bottom w:val="none" w:sz="0" w:space="0" w:color="auto"/>
        <w:right w:val="none" w:sz="0" w:space="0" w:color="auto"/>
      </w:divBdr>
    </w:div>
    <w:div w:id="518087790">
      <w:bodyDiv w:val="1"/>
      <w:marLeft w:val="0"/>
      <w:marRight w:val="0"/>
      <w:marTop w:val="0"/>
      <w:marBottom w:val="0"/>
      <w:divBdr>
        <w:top w:val="none" w:sz="0" w:space="0" w:color="auto"/>
        <w:left w:val="none" w:sz="0" w:space="0" w:color="auto"/>
        <w:bottom w:val="none" w:sz="0" w:space="0" w:color="auto"/>
        <w:right w:val="none" w:sz="0" w:space="0" w:color="auto"/>
      </w:divBdr>
    </w:div>
    <w:div w:id="650138302">
      <w:bodyDiv w:val="1"/>
      <w:marLeft w:val="0"/>
      <w:marRight w:val="0"/>
      <w:marTop w:val="0"/>
      <w:marBottom w:val="0"/>
      <w:divBdr>
        <w:top w:val="none" w:sz="0" w:space="0" w:color="auto"/>
        <w:left w:val="none" w:sz="0" w:space="0" w:color="auto"/>
        <w:bottom w:val="none" w:sz="0" w:space="0" w:color="auto"/>
        <w:right w:val="none" w:sz="0" w:space="0" w:color="auto"/>
      </w:divBdr>
    </w:div>
    <w:div w:id="742336739">
      <w:bodyDiv w:val="1"/>
      <w:marLeft w:val="0"/>
      <w:marRight w:val="0"/>
      <w:marTop w:val="0"/>
      <w:marBottom w:val="0"/>
      <w:divBdr>
        <w:top w:val="none" w:sz="0" w:space="0" w:color="auto"/>
        <w:left w:val="none" w:sz="0" w:space="0" w:color="auto"/>
        <w:bottom w:val="none" w:sz="0" w:space="0" w:color="auto"/>
        <w:right w:val="none" w:sz="0" w:space="0" w:color="auto"/>
      </w:divBdr>
      <w:divsChild>
        <w:div w:id="1105660785">
          <w:marLeft w:val="0"/>
          <w:marRight w:val="0"/>
          <w:marTop w:val="0"/>
          <w:marBottom w:val="0"/>
          <w:divBdr>
            <w:top w:val="none" w:sz="0" w:space="0" w:color="auto"/>
            <w:left w:val="none" w:sz="0" w:space="0" w:color="auto"/>
            <w:bottom w:val="none" w:sz="0" w:space="0" w:color="auto"/>
            <w:right w:val="none" w:sz="0" w:space="0" w:color="auto"/>
          </w:divBdr>
        </w:div>
        <w:div w:id="1924022869">
          <w:marLeft w:val="0"/>
          <w:marRight w:val="0"/>
          <w:marTop w:val="0"/>
          <w:marBottom w:val="0"/>
          <w:divBdr>
            <w:top w:val="none" w:sz="0" w:space="0" w:color="auto"/>
            <w:left w:val="none" w:sz="0" w:space="0" w:color="auto"/>
            <w:bottom w:val="none" w:sz="0" w:space="0" w:color="auto"/>
            <w:right w:val="none" w:sz="0" w:space="0" w:color="auto"/>
          </w:divBdr>
        </w:div>
        <w:div w:id="1170674693">
          <w:marLeft w:val="0"/>
          <w:marRight w:val="0"/>
          <w:marTop w:val="0"/>
          <w:marBottom w:val="0"/>
          <w:divBdr>
            <w:top w:val="none" w:sz="0" w:space="0" w:color="auto"/>
            <w:left w:val="none" w:sz="0" w:space="0" w:color="auto"/>
            <w:bottom w:val="none" w:sz="0" w:space="0" w:color="auto"/>
            <w:right w:val="none" w:sz="0" w:space="0" w:color="auto"/>
          </w:divBdr>
        </w:div>
        <w:div w:id="330644569">
          <w:marLeft w:val="0"/>
          <w:marRight w:val="0"/>
          <w:marTop w:val="0"/>
          <w:marBottom w:val="0"/>
          <w:divBdr>
            <w:top w:val="none" w:sz="0" w:space="0" w:color="auto"/>
            <w:left w:val="none" w:sz="0" w:space="0" w:color="auto"/>
            <w:bottom w:val="none" w:sz="0" w:space="0" w:color="auto"/>
            <w:right w:val="none" w:sz="0" w:space="0" w:color="auto"/>
          </w:divBdr>
        </w:div>
        <w:div w:id="925111121">
          <w:marLeft w:val="0"/>
          <w:marRight w:val="0"/>
          <w:marTop w:val="0"/>
          <w:marBottom w:val="0"/>
          <w:divBdr>
            <w:top w:val="none" w:sz="0" w:space="0" w:color="auto"/>
            <w:left w:val="none" w:sz="0" w:space="0" w:color="auto"/>
            <w:bottom w:val="none" w:sz="0" w:space="0" w:color="auto"/>
            <w:right w:val="none" w:sz="0" w:space="0" w:color="auto"/>
          </w:divBdr>
        </w:div>
        <w:div w:id="413281093">
          <w:marLeft w:val="0"/>
          <w:marRight w:val="0"/>
          <w:marTop w:val="0"/>
          <w:marBottom w:val="0"/>
          <w:divBdr>
            <w:top w:val="none" w:sz="0" w:space="0" w:color="auto"/>
            <w:left w:val="none" w:sz="0" w:space="0" w:color="auto"/>
            <w:bottom w:val="none" w:sz="0" w:space="0" w:color="auto"/>
            <w:right w:val="none" w:sz="0" w:space="0" w:color="auto"/>
          </w:divBdr>
        </w:div>
        <w:div w:id="64574961">
          <w:marLeft w:val="0"/>
          <w:marRight w:val="0"/>
          <w:marTop w:val="0"/>
          <w:marBottom w:val="0"/>
          <w:divBdr>
            <w:top w:val="none" w:sz="0" w:space="0" w:color="auto"/>
            <w:left w:val="none" w:sz="0" w:space="0" w:color="auto"/>
            <w:bottom w:val="none" w:sz="0" w:space="0" w:color="auto"/>
            <w:right w:val="none" w:sz="0" w:space="0" w:color="auto"/>
          </w:divBdr>
        </w:div>
        <w:div w:id="379089626">
          <w:marLeft w:val="0"/>
          <w:marRight w:val="0"/>
          <w:marTop w:val="0"/>
          <w:marBottom w:val="0"/>
          <w:divBdr>
            <w:top w:val="none" w:sz="0" w:space="0" w:color="auto"/>
            <w:left w:val="none" w:sz="0" w:space="0" w:color="auto"/>
            <w:bottom w:val="none" w:sz="0" w:space="0" w:color="auto"/>
            <w:right w:val="none" w:sz="0" w:space="0" w:color="auto"/>
          </w:divBdr>
        </w:div>
        <w:div w:id="837232311">
          <w:marLeft w:val="0"/>
          <w:marRight w:val="0"/>
          <w:marTop w:val="0"/>
          <w:marBottom w:val="0"/>
          <w:divBdr>
            <w:top w:val="none" w:sz="0" w:space="0" w:color="auto"/>
            <w:left w:val="none" w:sz="0" w:space="0" w:color="auto"/>
            <w:bottom w:val="none" w:sz="0" w:space="0" w:color="auto"/>
            <w:right w:val="none" w:sz="0" w:space="0" w:color="auto"/>
          </w:divBdr>
        </w:div>
        <w:div w:id="995961499">
          <w:marLeft w:val="0"/>
          <w:marRight w:val="0"/>
          <w:marTop w:val="0"/>
          <w:marBottom w:val="0"/>
          <w:divBdr>
            <w:top w:val="none" w:sz="0" w:space="0" w:color="auto"/>
            <w:left w:val="none" w:sz="0" w:space="0" w:color="auto"/>
            <w:bottom w:val="none" w:sz="0" w:space="0" w:color="auto"/>
            <w:right w:val="none" w:sz="0" w:space="0" w:color="auto"/>
          </w:divBdr>
        </w:div>
        <w:div w:id="383067254">
          <w:marLeft w:val="0"/>
          <w:marRight w:val="0"/>
          <w:marTop w:val="0"/>
          <w:marBottom w:val="0"/>
          <w:divBdr>
            <w:top w:val="none" w:sz="0" w:space="0" w:color="auto"/>
            <w:left w:val="none" w:sz="0" w:space="0" w:color="auto"/>
            <w:bottom w:val="none" w:sz="0" w:space="0" w:color="auto"/>
            <w:right w:val="none" w:sz="0" w:space="0" w:color="auto"/>
          </w:divBdr>
        </w:div>
        <w:div w:id="1611742000">
          <w:marLeft w:val="0"/>
          <w:marRight w:val="0"/>
          <w:marTop w:val="0"/>
          <w:marBottom w:val="0"/>
          <w:divBdr>
            <w:top w:val="none" w:sz="0" w:space="0" w:color="auto"/>
            <w:left w:val="none" w:sz="0" w:space="0" w:color="auto"/>
            <w:bottom w:val="none" w:sz="0" w:space="0" w:color="auto"/>
            <w:right w:val="none" w:sz="0" w:space="0" w:color="auto"/>
          </w:divBdr>
        </w:div>
      </w:divsChild>
    </w:div>
    <w:div w:id="1029994205">
      <w:bodyDiv w:val="1"/>
      <w:marLeft w:val="0"/>
      <w:marRight w:val="0"/>
      <w:marTop w:val="0"/>
      <w:marBottom w:val="0"/>
      <w:divBdr>
        <w:top w:val="none" w:sz="0" w:space="0" w:color="auto"/>
        <w:left w:val="none" w:sz="0" w:space="0" w:color="auto"/>
        <w:bottom w:val="none" w:sz="0" w:space="0" w:color="auto"/>
        <w:right w:val="none" w:sz="0" w:space="0" w:color="auto"/>
      </w:divBdr>
      <w:divsChild>
        <w:div w:id="1821388348">
          <w:marLeft w:val="0"/>
          <w:marRight w:val="0"/>
          <w:marTop w:val="0"/>
          <w:marBottom w:val="0"/>
          <w:divBdr>
            <w:top w:val="none" w:sz="0" w:space="0" w:color="auto"/>
            <w:left w:val="none" w:sz="0" w:space="0" w:color="auto"/>
            <w:bottom w:val="none" w:sz="0" w:space="0" w:color="auto"/>
            <w:right w:val="none" w:sz="0" w:space="0" w:color="auto"/>
          </w:divBdr>
        </w:div>
        <w:div w:id="956641958">
          <w:marLeft w:val="0"/>
          <w:marRight w:val="0"/>
          <w:marTop w:val="0"/>
          <w:marBottom w:val="0"/>
          <w:divBdr>
            <w:top w:val="none" w:sz="0" w:space="0" w:color="auto"/>
            <w:left w:val="none" w:sz="0" w:space="0" w:color="auto"/>
            <w:bottom w:val="none" w:sz="0" w:space="0" w:color="auto"/>
            <w:right w:val="none" w:sz="0" w:space="0" w:color="auto"/>
          </w:divBdr>
        </w:div>
        <w:div w:id="246961880">
          <w:marLeft w:val="0"/>
          <w:marRight w:val="0"/>
          <w:marTop w:val="0"/>
          <w:marBottom w:val="0"/>
          <w:divBdr>
            <w:top w:val="none" w:sz="0" w:space="0" w:color="auto"/>
            <w:left w:val="none" w:sz="0" w:space="0" w:color="auto"/>
            <w:bottom w:val="none" w:sz="0" w:space="0" w:color="auto"/>
            <w:right w:val="none" w:sz="0" w:space="0" w:color="auto"/>
          </w:divBdr>
        </w:div>
      </w:divsChild>
    </w:div>
    <w:div w:id="1193421619">
      <w:bodyDiv w:val="1"/>
      <w:marLeft w:val="0"/>
      <w:marRight w:val="0"/>
      <w:marTop w:val="0"/>
      <w:marBottom w:val="0"/>
      <w:divBdr>
        <w:top w:val="none" w:sz="0" w:space="0" w:color="auto"/>
        <w:left w:val="none" w:sz="0" w:space="0" w:color="auto"/>
        <w:bottom w:val="none" w:sz="0" w:space="0" w:color="auto"/>
        <w:right w:val="none" w:sz="0" w:space="0" w:color="auto"/>
      </w:divBdr>
      <w:divsChild>
        <w:div w:id="101193814">
          <w:marLeft w:val="0"/>
          <w:marRight w:val="0"/>
          <w:marTop w:val="0"/>
          <w:marBottom w:val="0"/>
          <w:divBdr>
            <w:top w:val="none" w:sz="0" w:space="0" w:color="auto"/>
            <w:left w:val="none" w:sz="0" w:space="0" w:color="auto"/>
            <w:bottom w:val="none" w:sz="0" w:space="0" w:color="auto"/>
            <w:right w:val="none" w:sz="0" w:space="0" w:color="auto"/>
          </w:divBdr>
        </w:div>
        <w:div w:id="468939691">
          <w:marLeft w:val="0"/>
          <w:marRight w:val="0"/>
          <w:marTop w:val="0"/>
          <w:marBottom w:val="0"/>
          <w:divBdr>
            <w:top w:val="none" w:sz="0" w:space="0" w:color="auto"/>
            <w:left w:val="none" w:sz="0" w:space="0" w:color="auto"/>
            <w:bottom w:val="none" w:sz="0" w:space="0" w:color="auto"/>
            <w:right w:val="none" w:sz="0" w:space="0" w:color="auto"/>
          </w:divBdr>
        </w:div>
        <w:div w:id="561062099">
          <w:marLeft w:val="0"/>
          <w:marRight w:val="0"/>
          <w:marTop w:val="0"/>
          <w:marBottom w:val="0"/>
          <w:divBdr>
            <w:top w:val="none" w:sz="0" w:space="0" w:color="auto"/>
            <w:left w:val="none" w:sz="0" w:space="0" w:color="auto"/>
            <w:bottom w:val="none" w:sz="0" w:space="0" w:color="auto"/>
            <w:right w:val="none" w:sz="0" w:space="0" w:color="auto"/>
          </w:divBdr>
        </w:div>
        <w:div w:id="1577862783">
          <w:marLeft w:val="0"/>
          <w:marRight w:val="0"/>
          <w:marTop w:val="0"/>
          <w:marBottom w:val="0"/>
          <w:divBdr>
            <w:top w:val="none" w:sz="0" w:space="0" w:color="auto"/>
            <w:left w:val="none" w:sz="0" w:space="0" w:color="auto"/>
            <w:bottom w:val="none" w:sz="0" w:space="0" w:color="auto"/>
            <w:right w:val="none" w:sz="0" w:space="0" w:color="auto"/>
          </w:divBdr>
        </w:div>
        <w:div w:id="360932911">
          <w:marLeft w:val="0"/>
          <w:marRight w:val="0"/>
          <w:marTop w:val="0"/>
          <w:marBottom w:val="0"/>
          <w:divBdr>
            <w:top w:val="none" w:sz="0" w:space="0" w:color="auto"/>
            <w:left w:val="none" w:sz="0" w:space="0" w:color="auto"/>
            <w:bottom w:val="none" w:sz="0" w:space="0" w:color="auto"/>
            <w:right w:val="none" w:sz="0" w:space="0" w:color="auto"/>
          </w:divBdr>
        </w:div>
        <w:div w:id="1309938818">
          <w:marLeft w:val="0"/>
          <w:marRight w:val="0"/>
          <w:marTop w:val="0"/>
          <w:marBottom w:val="0"/>
          <w:divBdr>
            <w:top w:val="none" w:sz="0" w:space="0" w:color="auto"/>
            <w:left w:val="none" w:sz="0" w:space="0" w:color="auto"/>
            <w:bottom w:val="none" w:sz="0" w:space="0" w:color="auto"/>
            <w:right w:val="none" w:sz="0" w:space="0" w:color="auto"/>
          </w:divBdr>
        </w:div>
        <w:div w:id="1094134655">
          <w:marLeft w:val="0"/>
          <w:marRight w:val="0"/>
          <w:marTop w:val="0"/>
          <w:marBottom w:val="0"/>
          <w:divBdr>
            <w:top w:val="none" w:sz="0" w:space="0" w:color="auto"/>
            <w:left w:val="none" w:sz="0" w:space="0" w:color="auto"/>
            <w:bottom w:val="none" w:sz="0" w:space="0" w:color="auto"/>
            <w:right w:val="none" w:sz="0" w:space="0" w:color="auto"/>
          </w:divBdr>
        </w:div>
        <w:div w:id="993530862">
          <w:marLeft w:val="0"/>
          <w:marRight w:val="0"/>
          <w:marTop w:val="0"/>
          <w:marBottom w:val="0"/>
          <w:divBdr>
            <w:top w:val="none" w:sz="0" w:space="0" w:color="auto"/>
            <w:left w:val="none" w:sz="0" w:space="0" w:color="auto"/>
            <w:bottom w:val="none" w:sz="0" w:space="0" w:color="auto"/>
            <w:right w:val="none" w:sz="0" w:space="0" w:color="auto"/>
          </w:divBdr>
        </w:div>
        <w:div w:id="408774278">
          <w:marLeft w:val="0"/>
          <w:marRight w:val="0"/>
          <w:marTop w:val="0"/>
          <w:marBottom w:val="0"/>
          <w:divBdr>
            <w:top w:val="none" w:sz="0" w:space="0" w:color="auto"/>
            <w:left w:val="none" w:sz="0" w:space="0" w:color="auto"/>
            <w:bottom w:val="none" w:sz="0" w:space="0" w:color="auto"/>
            <w:right w:val="none" w:sz="0" w:space="0" w:color="auto"/>
          </w:divBdr>
        </w:div>
        <w:div w:id="917321877">
          <w:marLeft w:val="0"/>
          <w:marRight w:val="0"/>
          <w:marTop w:val="0"/>
          <w:marBottom w:val="0"/>
          <w:divBdr>
            <w:top w:val="none" w:sz="0" w:space="0" w:color="auto"/>
            <w:left w:val="none" w:sz="0" w:space="0" w:color="auto"/>
            <w:bottom w:val="none" w:sz="0" w:space="0" w:color="auto"/>
            <w:right w:val="none" w:sz="0" w:space="0" w:color="auto"/>
          </w:divBdr>
        </w:div>
        <w:div w:id="1062168866">
          <w:marLeft w:val="0"/>
          <w:marRight w:val="0"/>
          <w:marTop w:val="0"/>
          <w:marBottom w:val="0"/>
          <w:divBdr>
            <w:top w:val="none" w:sz="0" w:space="0" w:color="auto"/>
            <w:left w:val="none" w:sz="0" w:space="0" w:color="auto"/>
            <w:bottom w:val="none" w:sz="0" w:space="0" w:color="auto"/>
            <w:right w:val="none" w:sz="0" w:space="0" w:color="auto"/>
          </w:divBdr>
        </w:div>
        <w:div w:id="1612735560">
          <w:marLeft w:val="0"/>
          <w:marRight w:val="0"/>
          <w:marTop w:val="0"/>
          <w:marBottom w:val="0"/>
          <w:divBdr>
            <w:top w:val="none" w:sz="0" w:space="0" w:color="auto"/>
            <w:left w:val="none" w:sz="0" w:space="0" w:color="auto"/>
            <w:bottom w:val="none" w:sz="0" w:space="0" w:color="auto"/>
            <w:right w:val="none" w:sz="0" w:space="0" w:color="auto"/>
          </w:divBdr>
        </w:div>
      </w:divsChild>
    </w:div>
    <w:div w:id="21034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Juan Carlos</dc:creator>
  <cp:lastModifiedBy>Torres Carolina</cp:lastModifiedBy>
  <cp:revision>2</cp:revision>
  <dcterms:created xsi:type="dcterms:W3CDTF">2016-06-06T23:26:00Z</dcterms:created>
  <dcterms:modified xsi:type="dcterms:W3CDTF">2016-06-06T23:26:00Z</dcterms:modified>
</cp:coreProperties>
</file>