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6E980" w14:textId="77777777" w:rsidR="00E06A33" w:rsidRDefault="00E06A33">
      <w:r w:rsidRPr="00837387">
        <w:rPr>
          <w:rFonts w:ascii="Bookman Old Style" w:hAnsi="Bookman Old Style"/>
          <w:noProof/>
          <w:sz w:val="22"/>
          <w:szCs w:val="22"/>
          <w:lang w:val="es-EC" w:eastAsia="es-EC"/>
        </w:rPr>
        <w:drawing>
          <wp:inline distT="0" distB="0" distL="0" distR="0" wp14:anchorId="36FF0553" wp14:editId="707C04A9">
            <wp:extent cx="5270500" cy="658813"/>
            <wp:effectExtent l="0" t="0" r="0" b="1905"/>
            <wp:docPr id="1" name="Imagen 1" descr="C:\Users\ctorres.QUITO\Desktop\COMUNICACION INTERNA\BOLETINES DE PRENSA 2015\logo_pge_fondoazul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orres.QUITO\Desktop\COMUNICACION INTERNA\BOLETINES DE PRENSA 2015\logo_pge_fondoazul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658813"/>
                    </a:xfrm>
                    <a:prstGeom prst="rect">
                      <a:avLst/>
                    </a:prstGeom>
                    <a:noFill/>
                    <a:ln>
                      <a:noFill/>
                    </a:ln>
                  </pic:spPr>
                </pic:pic>
              </a:graphicData>
            </a:graphic>
          </wp:inline>
        </w:drawing>
      </w:r>
    </w:p>
    <w:p w14:paraId="03D8AB18" w14:textId="77777777" w:rsidR="00E06A33" w:rsidRDefault="00E06A33"/>
    <w:p w14:paraId="7E1A91DE" w14:textId="77777777" w:rsidR="00D66039" w:rsidRPr="00D66039" w:rsidRDefault="00D66039" w:rsidP="00D66039">
      <w:pPr>
        <w:ind w:right="-427"/>
        <w:jc w:val="both"/>
        <w:rPr>
          <w:rFonts w:ascii="Bookman Old Style" w:hAnsi="Bookman Old Style" w:cs="Arial"/>
          <w:b/>
          <w:bCs/>
          <w:sz w:val="22"/>
          <w:szCs w:val="22"/>
          <w:lang w:val="es-EC"/>
        </w:rPr>
      </w:pPr>
      <w:r w:rsidRPr="00D66039">
        <w:rPr>
          <w:rFonts w:ascii="Bookman Old Style" w:hAnsi="Bookman Old Style" w:cs="Arial"/>
          <w:b/>
          <w:bCs/>
          <w:sz w:val="22"/>
          <w:szCs w:val="22"/>
          <w:lang w:val="es-EC"/>
        </w:rPr>
        <w:t>BOLETÍN DE PRENSA</w:t>
      </w:r>
    </w:p>
    <w:p w14:paraId="5C5AE87C" w14:textId="11EA2776" w:rsidR="00D66039" w:rsidRPr="00D66039" w:rsidRDefault="00D66039" w:rsidP="00D66039">
      <w:pPr>
        <w:ind w:right="-427"/>
        <w:jc w:val="both"/>
        <w:rPr>
          <w:rFonts w:ascii="Bookman Old Style" w:hAnsi="Bookman Old Style" w:cs="Arial"/>
          <w:sz w:val="22"/>
          <w:szCs w:val="22"/>
          <w:lang w:val="es-EC"/>
        </w:rPr>
      </w:pPr>
      <w:r w:rsidRPr="00D66039">
        <w:rPr>
          <w:rFonts w:ascii="Bookman Old Style" w:hAnsi="Bookman Old Style" w:cs="Arial"/>
          <w:sz w:val="22"/>
          <w:szCs w:val="22"/>
          <w:lang w:val="es-EC"/>
        </w:rPr>
        <w:t xml:space="preserve">Quito, </w:t>
      </w:r>
      <w:r w:rsidR="004911D5">
        <w:rPr>
          <w:rFonts w:ascii="Bookman Old Style" w:hAnsi="Bookman Old Style" w:cs="Arial"/>
          <w:sz w:val="22"/>
          <w:szCs w:val="22"/>
          <w:lang w:val="es-EC"/>
        </w:rPr>
        <w:t>14</w:t>
      </w:r>
      <w:r w:rsidR="0033698F">
        <w:rPr>
          <w:rFonts w:ascii="Bookman Old Style" w:hAnsi="Bookman Old Style" w:cs="Arial"/>
          <w:sz w:val="22"/>
          <w:szCs w:val="22"/>
          <w:lang w:val="es-EC"/>
        </w:rPr>
        <w:t xml:space="preserve"> de octubre</w:t>
      </w:r>
      <w:r w:rsidRPr="00D66039">
        <w:rPr>
          <w:rFonts w:ascii="Bookman Old Style" w:hAnsi="Bookman Old Style" w:cs="Arial"/>
          <w:sz w:val="22"/>
          <w:szCs w:val="22"/>
          <w:lang w:val="es-EC"/>
        </w:rPr>
        <w:t xml:space="preserve"> de 2016</w:t>
      </w:r>
    </w:p>
    <w:p w14:paraId="2695BA2F" w14:textId="35816522" w:rsidR="00D66039" w:rsidRPr="00D66039" w:rsidRDefault="004911D5" w:rsidP="00D66039">
      <w:pPr>
        <w:ind w:right="-427"/>
        <w:jc w:val="both"/>
        <w:rPr>
          <w:rFonts w:ascii="Bookman Old Style" w:hAnsi="Bookman Old Style" w:cs="Arial"/>
          <w:sz w:val="22"/>
          <w:szCs w:val="22"/>
          <w:lang w:val="es-EC"/>
        </w:rPr>
      </w:pPr>
      <w:r>
        <w:rPr>
          <w:rFonts w:ascii="Bookman Old Style" w:hAnsi="Bookman Old Style" w:cs="Arial"/>
          <w:sz w:val="22"/>
          <w:szCs w:val="22"/>
          <w:lang w:val="es-EC"/>
        </w:rPr>
        <w:t>CS/30</w:t>
      </w:r>
    </w:p>
    <w:p w14:paraId="59146E72" w14:textId="77777777" w:rsidR="00D66039" w:rsidRDefault="00D66039" w:rsidP="00D66039">
      <w:pPr>
        <w:ind w:right="-427"/>
        <w:jc w:val="both"/>
        <w:rPr>
          <w:rFonts w:ascii="Bookman Old Style" w:hAnsi="Bookman Old Style" w:cs="Arial"/>
          <w:sz w:val="22"/>
          <w:szCs w:val="22"/>
          <w:lang w:val="es-EC"/>
        </w:rPr>
      </w:pPr>
    </w:p>
    <w:p w14:paraId="007B481B" w14:textId="77777777" w:rsidR="00D90AD7" w:rsidRPr="00D66039" w:rsidRDefault="00D90AD7" w:rsidP="00D66039">
      <w:pPr>
        <w:ind w:right="-427"/>
        <w:jc w:val="both"/>
        <w:rPr>
          <w:rFonts w:ascii="Bookman Old Style" w:hAnsi="Bookman Old Style" w:cs="Arial"/>
          <w:sz w:val="22"/>
          <w:szCs w:val="22"/>
          <w:lang w:val="es-EC"/>
        </w:rPr>
      </w:pPr>
    </w:p>
    <w:p w14:paraId="47DC6AD6" w14:textId="7625BCC0" w:rsidR="004911D5" w:rsidRPr="004911D5" w:rsidRDefault="004911D5" w:rsidP="004911D5">
      <w:pPr>
        <w:pStyle w:val="Sinespaciado"/>
        <w:jc w:val="both"/>
        <w:rPr>
          <w:rFonts w:ascii="Bookman Old Style" w:hAnsi="Bookman Old Style" w:cs="Arial"/>
          <w:lang w:val="es-ES" w:eastAsia="es-EC"/>
        </w:rPr>
      </w:pPr>
      <w:r>
        <w:rPr>
          <w:rFonts w:ascii="Bookman Old Style" w:hAnsi="Bookman Old Style" w:cs="Arial"/>
          <w:b/>
          <w:lang w:val="es-ES" w:eastAsia="es-EC"/>
        </w:rPr>
        <w:t>ECUADOR NO DEBERÁ PAGAR 1</w:t>
      </w:r>
      <w:r w:rsidRPr="004911D5">
        <w:rPr>
          <w:rFonts w:ascii="Bookman Old Style" w:hAnsi="Bookman Old Style" w:cs="Arial"/>
          <w:b/>
          <w:lang w:val="es-ES" w:eastAsia="es-EC"/>
        </w:rPr>
        <w:t>OOO MILLONES DE DÓLARES DEMANDADOS POR EMPRESAS OFF SHORE DE LOS HERMANOS ISAÍAS EN CORTE DE NUEVA YORK</w:t>
      </w:r>
    </w:p>
    <w:p w14:paraId="6DFB5F1E" w14:textId="77777777" w:rsidR="004911D5" w:rsidRPr="004911D5" w:rsidRDefault="004911D5" w:rsidP="004911D5">
      <w:pPr>
        <w:pStyle w:val="Sinespaciado"/>
        <w:jc w:val="both"/>
        <w:rPr>
          <w:rFonts w:ascii="Bookman Old Style" w:hAnsi="Bookman Old Style" w:cs="Arial"/>
          <w:lang w:val="es-ES" w:eastAsia="es-EC"/>
        </w:rPr>
      </w:pPr>
    </w:p>
    <w:p w14:paraId="5F7CF7C2" w14:textId="77777777" w:rsidR="004911D5" w:rsidRPr="004911D5" w:rsidRDefault="004911D5" w:rsidP="004911D5">
      <w:pPr>
        <w:pStyle w:val="Sinespaciado"/>
        <w:jc w:val="both"/>
        <w:rPr>
          <w:rFonts w:ascii="Bookman Old Style" w:hAnsi="Bookman Old Style" w:cs="Arial"/>
          <w:caps/>
          <w:vanish/>
          <w:color w:val="000000"/>
          <w:lang w:val="es-ES" w:eastAsia="es-EC"/>
        </w:rPr>
      </w:pPr>
      <w:r w:rsidRPr="004911D5">
        <w:rPr>
          <w:rFonts w:ascii="Bookman Old Style" w:hAnsi="Bookman Old Style" w:cs="Arial"/>
          <w:caps/>
          <w:vanish/>
          <w:color w:val="000000"/>
          <w:lang w:val="es-ES" w:eastAsia="es-EC"/>
        </w:rPr>
        <w:t xml:space="preserve">on Junio 01, 2015 </w:t>
      </w:r>
    </w:p>
    <w:p w14:paraId="5839C30A" w14:textId="77777777" w:rsidR="004911D5" w:rsidRPr="004911D5" w:rsidRDefault="004911D5" w:rsidP="004911D5">
      <w:pPr>
        <w:pStyle w:val="Sinespaciado"/>
        <w:jc w:val="both"/>
        <w:rPr>
          <w:rFonts w:ascii="Bookman Old Style" w:hAnsi="Bookman Old Style" w:cs="Arial"/>
          <w:color w:val="000000"/>
          <w:lang w:val="es-ES" w:eastAsia="es-EC"/>
        </w:rPr>
      </w:pPr>
      <w:r w:rsidRPr="004911D5">
        <w:rPr>
          <w:rFonts w:ascii="Bookman Old Style" w:hAnsi="Bookman Old Style" w:cs="Arial"/>
          <w:color w:val="000000"/>
          <w:lang w:val="es-ES" w:eastAsia="es-EC"/>
        </w:rPr>
        <w:t xml:space="preserve">El viernes 14 de octubre de 2016, la Corte de Apelaciones del Segundo Distrito ratificó la sentencia del Juez del Distrito del Sur de Nueva York que desestimó la demanda presentada en contra de la República de Ecuador por las compañías </w:t>
      </w:r>
      <w:proofErr w:type="spellStart"/>
      <w:r w:rsidRPr="004911D5">
        <w:rPr>
          <w:rFonts w:ascii="Bookman Old Style" w:hAnsi="Bookman Old Style" w:cs="Arial"/>
          <w:color w:val="000000"/>
          <w:lang w:val="es-ES" w:eastAsia="es-EC"/>
        </w:rPr>
        <w:t>Arch</w:t>
      </w:r>
      <w:proofErr w:type="spellEnd"/>
      <w:r w:rsidRPr="004911D5">
        <w:rPr>
          <w:rFonts w:ascii="Bookman Old Style" w:hAnsi="Bookman Old Style" w:cs="Arial"/>
          <w:color w:val="000000"/>
          <w:lang w:val="es-ES" w:eastAsia="es-EC"/>
        </w:rPr>
        <w:t xml:space="preserve"> Trading Corp., </w:t>
      </w:r>
      <w:proofErr w:type="spellStart"/>
      <w:r w:rsidRPr="004911D5">
        <w:rPr>
          <w:rFonts w:ascii="Bookman Old Style" w:hAnsi="Bookman Old Style" w:cs="Arial"/>
          <w:color w:val="000000"/>
          <w:lang w:val="es-ES" w:eastAsia="es-EC"/>
        </w:rPr>
        <w:t>Arvin</w:t>
      </w:r>
      <w:proofErr w:type="spellEnd"/>
      <w:r w:rsidRPr="004911D5">
        <w:rPr>
          <w:rFonts w:ascii="Bookman Old Style" w:hAnsi="Bookman Old Style" w:cs="Arial"/>
          <w:color w:val="000000"/>
          <w:lang w:val="es-ES" w:eastAsia="es-EC"/>
        </w:rPr>
        <w:t xml:space="preserve"> </w:t>
      </w:r>
      <w:proofErr w:type="spellStart"/>
      <w:r w:rsidRPr="004911D5">
        <w:rPr>
          <w:rFonts w:ascii="Bookman Old Style" w:hAnsi="Bookman Old Style" w:cs="Arial"/>
          <w:color w:val="000000"/>
          <w:lang w:val="es-ES" w:eastAsia="es-EC"/>
        </w:rPr>
        <w:t>Properties</w:t>
      </w:r>
      <w:proofErr w:type="spellEnd"/>
      <w:r w:rsidRPr="004911D5">
        <w:rPr>
          <w:rFonts w:ascii="Bookman Old Style" w:hAnsi="Bookman Old Style" w:cs="Arial"/>
          <w:color w:val="000000"/>
          <w:lang w:val="es-ES" w:eastAsia="es-EC"/>
        </w:rPr>
        <w:t xml:space="preserve"> Inc., </w:t>
      </w:r>
      <w:proofErr w:type="spellStart"/>
      <w:r w:rsidRPr="004911D5">
        <w:rPr>
          <w:rFonts w:ascii="Bookman Old Style" w:hAnsi="Bookman Old Style" w:cs="Arial"/>
          <w:color w:val="000000"/>
          <w:lang w:val="es-ES" w:eastAsia="es-EC"/>
        </w:rPr>
        <w:t>Hezer</w:t>
      </w:r>
      <w:proofErr w:type="spellEnd"/>
      <w:r w:rsidRPr="004911D5">
        <w:rPr>
          <w:rFonts w:ascii="Bookman Old Style" w:hAnsi="Bookman Old Style" w:cs="Arial"/>
          <w:color w:val="000000"/>
          <w:lang w:val="es-ES" w:eastAsia="es-EC"/>
        </w:rPr>
        <w:t xml:space="preserve"> Holdings Inc., </w:t>
      </w:r>
      <w:proofErr w:type="spellStart"/>
      <w:r w:rsidRPr="004911D5">
        <w:rPr>
          <w:rFonts w:ascii="Bookman Old Style" w:hAnsi="Bookman Old Style" w:cs="Arial"/>
          <w:color w:val="000000"/>
          <w:lang w:val="es-ES" w:eastAsia="es-EC"/>
        </w:rPr>
        <w:t>Madec</w:t>
      </w:r>
      <w:proofErr w:type="spellEnd"/>
      <w:r w:rsidRPr="004911D5">
        <w:rPr>
          <w:rFonts w:ascii="Bookman Old Style" w:hAnsi="Bookman Old Style" w:cs="Arial"/>
          <w:color w:val="000000"/>
          <w:lang w:val="es-ES" w:eastAsia="es-EC"/>
        </w:rPr>
        <w:t xml:space="preserve"> </w:t>
      </w:r>
      <w:proofErr w:type="spellStart"/>
      <w:r w:rsidRPr="004911D5">
        <w:rPr>
          <w:rFonts w:ascii="Bookman Old Style" w:hAnsi="Bookman Old Style" w:cs="Arial"/>
          <w:color w:val="000000"/>
          <w:lang w:val="es-ES" w:eastAsia="es-EC"/>
        </w:rPr>
        <w:t>Limited</w:t>
      </w:r>
      <w:proofErr w:type="spellEnd"/>
      <w:r w:rsidRPr="004911D5">
        <w:rPr>
          <w:rFonts w:ascii="Bookman Old Style" w:hAnsi="Bookman Old Style" w:cs="Arial"/>
          <w:color w:val="000000"/>
          <w:lang w:val="es-ES" w:eastAsia="es-EC"/>
        </w:rPr>
        <w:t xml:space="preserve">, y </w:t>
      </w:r>
      <w:proofErr w:type="spellStart"/>
      <w:r w:rsidRPr="004911D5">
        <w:rPr>
          <w:rFonts w:ascii="Bookman Old Style" w:hAnsi="Bookman Old Style" w:cs="Arial"/>
          <w:color w:val="000000"/>
          <w:lang w:val="es-ES" w:eastAsia="es-EC"/>
        </w:rPr>
        <w:t>Osis</w:t>
      </w:r>
      <w:proofErr w:type="spellEnd"/>
      <w:r w:rsidRPr="004911D5">
        <w:rPr>
          <w:rFonts w:ascii="Bookman Old Style" w:hAnsi="Bookman Old Style" w:cs="Arial"/>
          <w:color w:val="000000"/>
          <w:lang w:val="es-ES" w:eastAsia="es-EC"/>
        </w:rPr>
        <w:t xml:space="preserve"> International Corp., constituidas en las Islas Vírgenes británicas, todas de propiedad de los hermanos William y Roberto Isaías </w:t>
      </w:r>
      <w:proofErr w:type="spellStart"/>
      <w:r w:rsidRPr="004911D5">
        <w:rPr>
          <w:rFonts w:ascii="Bookman Old Style" w:hAnsi="Bookman Old Style" w:cs="Arial"/>
          <w:color w:val="000000"/>
          <w:lang w:val="es-ES" w:eastAsia="es-EC"/>
        </w:rPr>
        <w:t>Dassum</w:t>
      </w:r>
      <w:proofErr w:type="spellEnd"/>
      <w:r w:rsidRPr="004911D5">
        <w:rPr>
          <w:rFonts w:ascii="Bookman Old Style" w:hAnsi="Bookman Old Style" w:cs="Arial"/>
          <w:color w:val="000000"/>
          <w:lang w:val="es-ES" w:eastAsia="es-EC"/>
        </w:rPr>
        <w:t xml:space="preserve"> -ex dueños y administradores del </w:t>
      </w:r>
      <w:proofErr w:type="spellStart"/>
      <w:r w:rsidRPr="004911D5">
        <w:rPr>
          <w:rFonts w:ascii="Bookman Old Style" w:hAnsi="Bookman Old Style" w:cs="Arial"/>
          <w:color w:val="000000"/>
          <w:lang w:val="es-ES" w:eastAsia="es-EC"/>
        </w:rPr>
        <w:t>Filanbanco</w:t>
      </w:r>
      <w:proofErr w:type="spellEnd"/>
      <w:r w:rsidRPr="004911D5">
        <w:rPr>
          <w:rFonts w:ascii="Bookman Old Style" w:hAnsi="Bookman Old Style" w:cs="Arial"/>
          <w:color w:val="000000"/>
          <w:lang w:val="es-ES" w:eastAsia="es-EC"/>
        </w:rPr>
        <w:t>-, a través de la cual pretendían cobrar al Estado ecuatoriano una indemnización de USD 1.000’000.000 (mil millones de dólares) más intereses, costas y honorarios.</w:t>
      </w:r>
    </w:p>
    <w:p w14:paraId="3AFC303F" w14:textId="77777777" w:rsidR="004911D5" w:rsidRPr="004911D5" w:rsidRDefault="004911D5" w:rsidP="004911D5">
      <w:pPr>
        <w:pStyle w:val="Sinespaciado"/>
        <w:jc w:val="both"/>
        <w:rPr>
          <w:rFonts w:ascii="Bookman Old Style" w:hAnsi="Bookman Old Style" w:cs="Arial"/>
          <w:color w:val="000000"/>
          <w:lang w:val="es-ES" w:eastAsia="es-EC"/>
        </w:rPr>
      </w:pPr>
    </w:p>
    <w:p w14:paraId="77D3C404" w14:textId="77777777" w:rsidR="004911D5" w:rsidRPr="004911D5" w:rsidRDefault="004911D5" w:rsidP="004911D5">
      <w:pPr>
        <w:pStyle w:val="Sinespaciado"/>
        <w:jc w:val="both"/>
        <w:rPr>
          <w:rFonts w:ascii="Bookman Old Style" w:hAnsi="Bookman Old Style" w:cs="Arial"/>
          <w:color w:val="000000"/>
          <w:lang w:val="es-ES" w:eastAsia="es-EC"/>
        </w:rPr>
      </w:pPr>
      <w:r w:rsidRPr="004911D5">
        <w:rPr>
          <w:rFonts w:ascii="Bookman Old Style" w:hAnsi="Bookman Old Style" w:cs="Arial"/>
          <w:color w:val="000000"/>
          <w:lang w:val="es-ES" w:eastAsia="es-EC"/>
        </w:rPr>
        <w:t>Este fallo constituye un triunfo para los intereses del Ecuador, al ser acogidos todos los argumentos respecto de la falta de jurisdicción para resolver esta demanda, planteados por la Defensa del Estado tanto en primera instancia como en el recurso de apelación, y que fueron ampliamente fundamentados en la audiencia efectuada en la ciudad de Nueva York, el 5 de enero de 2016.</w:t>
      </w:r>
    </w:p>
    <w:p w14:paraId="1213B335" w14:textId="77777777" w:rsidR="004911D5" w:rsidRPr="004911D5" w:rsidRDefault="004911D5" w:rsidP="004911D5">
      <w:pPr>
        <w:pStyle w:val="Sinespaciado"/>
        <w:jc w:val="both"/>
        <w:rPr>
          <w:rFonts w:ascii="Bookman Old Style" w:hAnsi="Bookman Old Style" w:cs="Arial"/>
          <w:color w:val="000000"/>
          <w:lang w:val="es-ES" w:eastAsia="es-EC"/>
        </w:rPr>
      </w:pPr>
    </w:p>
    <w:p w14:paraId="18CEC582" w14:textId="77777777" w:rsidR="004911D5" w:rsidRPr="004911D5" w:rsidRDefault="004911D5" w:rsidP="004911D5">
      <w:pPr>
        <w:pStyle w:val="Sinespaciado"/>
        <w:jc w:val="both"/>
        <w:rPr>
          <w:rFonts w:ascii="Bookman Old Style" w:hAnsi="Bookman Old Style" w:cs="Arial"/>
          <w:color w:val="000000"/>
          <w:lang w:val="es-ES" w:eastAsia="es-EC"/>
        </w:rPr>
      </w:pPr>
      <w:r w:rsidRPr="004911D5">
        <w:rPr>
          <w:rFonts w:ascii="Bookman Old Style" w:hAnsi="Bookman Old Style" w:cs="Arial"/>
          <w:color w:val="000000"/>
          <w:lang w:val="es-ES" w:eastAsia="es-EC"/>
        </w:rPr>
        <w:t>El Procurador General del Estado, Dr. Diego García Carrión, al referirse a esta sentencia señaló que “La Procuraduría General del Estado está satisfecha con la decisión adoptada por la  Corte de Apelaciones, pues la Defensa del Estado ha hecho respetar la inmunidad soberana del Ecuador al ratificar que los actos de Estado, como lo fueron las decisiones de incautación adoptadas por la AGD a partir de julio de 2008, no pueden ser sometidos a una jurisdicción extranjera”.     El Procurador destacó que “con esta decisión el Ecuador obtiene un nuevo resultado favorable frente a los intentos de los Hermanos Isaías de desconocer la plena vigencia de las resoluciones de incautación adoptadas por la AGD, como consecuencia de la crisis bancaria de fines de los noventa”.</w:t>
      </w:r>
    </w:p>
    <w:p w14:paraId="4F7BCA1E" w14:textId="77777777" w:rsidR="004911D5" w:rsidRPr="004911D5" w:rsidRDefault="004911D5" w:rsidP="004911D5">
      <w:pPr>
        <w:pStyle w:val="Sinespaciado"/>
        <w:jc w:val="both"/>
        <w:rPr>
          <w:rFonts w:ascii="Bookman Old Style" w:hAnsi="Bookman Old Style" w:cs="Arial"/>
          <w:color w:val="000000"/>
          <w:lang w:val="es-ES" w:eastAsia="es-EC"/>
        </w:rPr>
      </w:pPr>
    </w:p>
    <w:p w14:paraId="5B05BC16" w14:textId="77777777" w:rsidR="004911D5" w:rsidRPr="004911D5" w:rsidRDefault="004911D5" w:rsidP="004911D5">
      <w:pPr>
        <w:pStyle w:val="Sinespaciado"/>
        <w:jc w:val="both"/>
        <w:rPr>
          <w:rFonts w:ascii="Bookman Old Style" w:hAnsi="Bookman Old Style" w:cs="Arial"/>
          <w:color w:val="000000"/>
          <w:lang w:val="es-ES" w:eastAsia="es-EC"/>
        </w:rPr>
      </w:pPr>
      <w:r w:rsidRPr="004911D5">
        <w:rPr>
          <w:rFonts w:ascii="Bookman Old Style" w:hAnsi="Bookman Old Style" w:cs="Arial"/>
          <w:color w:val="000000"/>
          <w:lang w:val="es-ES" w:eastAsia="es-EC"/>
        </w:rPr>
        <w:t>La Corte de Apelaciones del Segundo Distrito de Nueva York determinó, al igual que lo hizo el Juez de primera instancia, que carecía de jurisdicción, al considerar que los demandados: la República del Ecuador, el Fideicomiso AGD–CFN “AGD no más impunidad” y la CFN, gozan de inmunidad soberana y no les es aplicable la excepción establecida en la legislación norteamericana pues no se demostró que se hubieran expropiado ilegítimamente los bienes de propiedad de las demandantes, en violación del Derecho Internacional.</w:t>
      </w:r>
    </w:p>
    <w:p w14:paraId="7E059114" w14:textId="77777777" w:rsidR="00B9307B" w:rsidRDefault="00B9307B" w:rsidP="004911D5">
      <w:pPr>
        <w:pStyle w:val="Sinespaciado"/>
        <w:jc w:val="both"/>
        <w:rPr>
          <w:rFonts w:ascii="Bookman Old Style" w:hAnsi="Bookman Old Style" w:cs="Arial"/>
          <w:color w:val="000000"/>
          <w:lang w:val="es-ES" w:eastAsia="es-EC"/>
        </w:rPr>
      </w:pPr>
    </w:p>
    <w:p w14:paraId="369B9C6F" w14:textId="77777777" w:rsidR="00B9307B" w:rsidRDefault="00B9307B" w:rsidP="004911D5">
      <w:pPr>
        <w:pStyle w:val="Sinespaciado"/>
        <w:jc w:val="both"/>
        <w:rPr>
          <w:rFonts w:ascii="Bookman Old Style" w:hAnsi="Bookman Old Style" w:cs="Arial"/>
          <w:color w:val="000000"/>
          <w:lang w:val="es-ES" w:eastAsia="es-EC"/>
        </w:rPr>
      </w:pPr>
      <w:bookmarkStart w:id="0" w:name="_GoBack"/>
      <w:bookmarkEnd w:id="0"/>
    </w:p>
    <w:p w14:paraId="060D7402" w14:textId="1489F766" w:rsidR="004911D5" w:rsidRPr="004911D5" w:rsidRDefault="004911D5" w:rsidP="004911D5">
      <w:pPr>
        <w:pStyle w:val="Sinespaciado"/>
        <w:jc w:val="both"/>
        <w:rPr>
          <w:rFonts w:ascii="Bookman Old Style" w:hAnsi="Bookman Old Style" w:cs="Arial"/>
          <w:color w:val="000000"/>
          <w:lang w:val="es-ES" w:eastAsia="es-EC"/>
        </w:rPr>
      </w:pPr>
      <w:r w:rsidRPr="004911D5">
        <w:rPr>
          <w:rFonts w:ascii="Bookman Old Style" w:hAnsi="Bookman Old Style" w:cs="Arial"/>
          <w:color w:val="000000"/>
          <w:lang w:val="es-ES" w:eastAsia="es-EC"/>
        </w:rPr>
        <w:lastRenderedPageBreak/>
        <w:t>Asimismo, determinó que no se probó la existencia de un nexo de naturaleza comercial entre las resoluciones de incautación con Estados Unidos, en particular, en el Distrito de Nueva York,  que le otorgue jurisdicción a esas Cortes para juzgar los actos objeto de la demanda.</w:t>
      </w:r>
    </w:p>
    <w:p w14:paraId="5FB660BE" w14:textId="77777777" w:rsidR="006F7E91" w:rsidRPr="00D66039" w:rsidRDefault="006F7E91">
      <w:pPr>
        <w:rPr>
          <w:rFonts w:ascii="Bookman Old Style" w:hAnsi="Bookman Old Style"/>
          <w:sz w:val="22"/>
          <w:szCs w:val="22"/>
          <w:lang w:val="es-EC"/>
        </w:rPr>
      </w:pPr>
    </w:p>
    <w:p w14:paraId="08D53E49" w14:textId="77777777" w:rsidR="006F7E91" w:rsidRPr="00D66039" w:rsidRDefault="006F7E91" w:rsidP="006F7E91">
      <w:pPr>
        <w:tabs>
          <w:tab w:val="left" w:pos="3620"/>
        </w:tabs>
        <w:rPr>
          <w:rFonts w:ascii="Bookman Old Style" w:hAnsi="Bookman Old Style"/>
          <w:sz w:val="22"/>
          <w:szCs w:val="22"/>
          <w:lang w:val="es-EC"/>
        </w:rPr>
      </w:pPr>
    </w:p>
    <w:p w14:paraId="7F292716" w14:textId="2598DF53" w:rsidR="00510F14" w:rsidRPr="00510F14" w:rsidRDefault="00D66039" w:rsidP="004B09F9">
      <w:pPr>
        <w:tabs>
          <w:tab w:val="left" w:pos="3620"/>
        </w:tabs>
        <w:jc w:val="center"/>
        <w:rPr>
          <w:rFonts w:ascii="Bookman Old Style" w:hAnsi="Bookman Old Style"/>
          <w:b/>
          <w:sz w:val="22"/>
          <w:szCs w:val="22"/>
          <w:lang w:val="es-EC"/>
        </w:rPr>
      </w:pPr>
      <w:r>
        <w:rPr>
          <w:rFonts w:ascii="Bookman Old Style" w:hAnsi="Bookman Old Style"/>
          <w:b/>
          <w:sz w:val="22"/>
          <w:szCs w:val="22"/>
          <w:lang w:val="es-EC"/>
        </w:rPr>
        <w:t xml:space="preserve">COMUNICACIÓN SOCIAL </w:t>
      </w:r>
    </w:p>
    <w:p w14:paraId="152EED50" w14:textId="1221467A" w:rsidR="004B09F9" w:rsidRPr="00510F14" w:rsidRDefault="004B09F9" w:rsidP="004B09F9">
      <w:pPr>
        <w:tabs>
          <w:tab w:val="left" w:pos="3620"/>
        </w:tabs>
        <w:jc w:val="center"/>
        <w:rPr>
          <w:rStyle w:val="Textoennegrita"/>
          <w:rFonts w:ascii="Bookman Old Style" w:hAnsi="Bookman Old Style" w:cs="Helvetica"/>
          <w:b w:val="0"/>
          <w:sz w:val="22"/>
          <w:szCs w:val="22"/>
          <w:lang w:val="es-EC"/>
        </w:rPr>
      </w:pPr>
      <w:r w:rsidRPr="00D66039">
        <w:rPr>
          <w:rFonts w:ascii="Bookman Old Style" w:hAnsi="Bookman Old Style"/>
          <w:sz w:val="22"/>
          <w:szCs w:val="22"/>
          <w:lang w:val="es-EC"/>
        </w:rPr>
        <w:t>Tel</w:t>
      </w:r>
      <w:r w:rsidR="00D66039" w:rsidRPr="00D66039">
        <w:rPr>
          <w:rFonts w:ascii="Bookman Old Style" w:hAnsi="Bookman Old Style"/>
          <w:sz w:val="22"/>
          <w:szCs w:val="22"/>
          <w:lang w:val="es-EC"/>
        </w:rPr>
        <w:t>éfono</w:t>
      </w:r>
      <w:r w:rsidRPr="00D66039">
        <w:rPr>
          <w:rFonts w:ascii="Bookman Old Style" w:hAnsi="Bookman Old Style"/>
          <w:sz w:val="22"/>
          <w:szCs w:val="22"/>
          <w:lang w:val="es-EC"/>
        </w:rPr>
        <w:t>:</w:t>
      </w:r>
      <w:r w:rsidRPr="00510F14">
        <w:rPr>
          <w:rFonts w:ascii="Bookman Old Style" w:hAnsi="Bookman Old Style"/>
          <w:b/>
          <w:sz w:val="22"/>
          <w:szCs w:val="22"/>
          <w:lang w:val="es-EC"/>
        </w:rPr>
        <w:t xml:space="preserve"> </w:t>
      </w:r>
      <w:r w:rsidRPr="00510F14">
        <w:rPr>
          <w:rStyle w:val="Textoennegrita"/>
          <w:rFonts w:ascii="Bookman Old Style" w:hAnsi="Bookman Old Style" w:cs="Helvetica"/>
          <w:b w:val="0"/>
          <w:sz w:val="22"/>
          <w:szCs w:val="22"/>
          <w:lang w:val="es-EC"/>
        </w:rPr>
        <w:t>(02) 2941300 Ext. 2321</w:t>
      </w:r>
    </w:p>
    <w:p w14:paraId="66FFD206" w14:textId="77777777" w:rsidR="00510F14" w:rsidRPr="00510F14" w:rsidRDefault="00510F14" w:rsidP="004B09F9">
      <w:pPr>
        <w:tabs>
          <w:tab w:val="left" w:pos="3620"/>
        </w:tabs>
        <w:jc w:val="center"/>
        <w:rPr>
          <w:rStyle w:val="Textoennegrita"/>
          <w:rFonts w:ascii="Bookman Old Style" w:hAnsi="Bookman Old Style" w:cs="Helvetica"/>
          <w:b w:val="0"/>
          <w:sz w:val="22"/>
          <w:szCs w:val="22"/>
          <w:lang w:val="es-EC"/>
        </w:rPr>
      </w:pPr>
    </w:p>
    <w:p w14:paraId="4452C93D" w14:textId="77777777" w:rsidR="004B09F9" w:rsidRPr="004B09F9" w:rsidRDefault="004B09F9" w:rsidP="004B09F9">
      <w:pPr>
        <w:tabs>
          <w:tab w:val="left" w:pos="3620"/>
        </w:tabs>
        <w:jc w:val="center"/>
        <w:rPr>
          <w:b/>
        </w:rPr>
      </w:pPr>
      <w:r w:rsidRPr="00837387">
        <w:rPr>
          <w:rFonts w:ascii="Bookman Old Style" w:hAnsi="Bookman Old Style"/>
          <w:noProof/>
          <w:sz w:val="22"/>
          <w:szCs w:val="22"/>
          <w:lang w:val="es-EC" w:eastAsia="es-EC"/>
        </w:rPr>
        <w:drawing>
          <wp:inline distT="0" distB="0" distL="0" distR="0" wp14:anchorId="60CBBA7C" wp14:editId="02BE00E4">
            <wp:extent cx="5270500" cy="322279"/>
            <wp:effectExtent l="0" t="0" r="0" b="8255"/>
            <wp:docPr id="4" name="Imagen 4" descr="C:\Users\ctorres.QUITO\Desktop\COMUNICACION INTERNA\BOLETINES DE PRENSA 2015\pie_pg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orres.QUITO\Desktop\COMUNICACION INTERNA\BOLETINES DE PRENSA 2015\pie_pge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322279"/>
                    </a:xfrm>
                    <a:prstGeom prst="rect">
                      <a:avLst/>
                    </a:prstGeom>
                    <a:noFill/>
                    <a:ln>
                      <a:noFill/>
                    </a:ln>
                  </pic:spPr>
                </pic:pic>
              </a:graphicData>
            </a:graphic>
          </wp:inline>
        </w:drawing>
      </w:r>
    </w:p>
    <w:sectPr w:rsidR="004B09F9" w:rsidRPr="004B09F9" w:rsidSect="00B82E8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E91"/>
    <w:rsid w:val="001C238A"/>
    <w:rsid w:val="001D1DDF"/>
    <w:rsid w:val="0033698F"/>
    <w:rsid w:val="004874E6"/>
    <w:rsid w:val="004911D5"/>
    <w:rsid w:val="004B09F9"/>
    <w:rsid w:val="00510F14"/>
    <w:rsid w:val="006F7E91"/>
    <w:rsid w:val="00AA2484"/>
    <w:rsid w:val="00B82E88"/>
    <w:rsid w:val="00B9307B"/>
    <w:rsid w:val="00D66039"/>
    <w:rsid w:val="00D90AD7"/>
    <w:rsid w:val="00E06A33"/>
    <w:rsid w:val="00E51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07D6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B09F9"/>
    <w:rPr>
      <w:b/>
      <w:bCs/>
    </w:rPr>
  </w:style>
  <w:style w:type="paragraph" w:styleId="Textodeglobo">
    <w:name w:val="Balloon Text"/>
    <w:basedOn w:val="Normal"/>
    <w:link w:val="TextodegloboCar"/>
    <w:uiPriority w:val="99"/>
    <w:semiHidden/>
    <w:unhideWhenUsed/>
    <w:rsid w:val="004B09F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B09F9"/>
    <w:rPr>
      <w:rFonts w:ascii="Lucida Grande" w:hAnsi="Lucida Grande" w:cs="Lucida Grande"/>
      <w:sz w:val="18"/>
      <w:szCs w:val="18"/>
    </w:rPr>
  </w:style>
  <w:style w:type="character" w:styleId="Hipervnculo">
    <w:name w:val="Hyperlink"/>
    <w:uiPriority w:val="99"/>
    <w:unhideWhenUsed/>
    <w:rsid w:val="00D66039"/>
    <w:rPr>
      <w:color w:val="0563C1"/>
      <w:u w:val="single"/>
    </w:rPr>
  </w:style>
  <w:style w:type="paragraph" w:styleId="NormalWeb">
    <w:name w:val="Normal (Web)"/>
    <w:basedOn w:val="Normal"/>
    <w:uiPriority w:val="99"/>
    <w:unhideWhenUsed/>
    <w:rsid w:val="0033698F"/>
    <w:rPr>
      <w:rFonts w:ascii="Times New Roman" w:eastAsiaTheme="minorHAnsi" w:hAnsi="Times New Roman" w:cs="Times New Roman"/>
      <w:lang w:val="es-EC" w:eastAsia="es-EC"/>
    </w:rPr>
  </w:style>
  <w:style w:type="paragraph" w:styleId="Sinespaciado">
    <w:name w:val="No Spacing"/>
    <w:uiPriority w:val="1"/>
    <w:qFormat/>
    <w:rsid w:val="0033698F"/>
    <w:rPr>
      <w:rFonts w:eastAsiaTheme="minorHAnsi"/>
      <w:sz w:val="22"/>
      <w:szCs w:val="22"/>
      <w:lang w:val="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B09F9"/>
    <w:rPr>
      <w:b/>
      <w:bCs/>
    </w:rPr>
  </w:style>
  <w:style w:type="paragraph" w:styleId="Textodeglobo">
    <w:name w:val="Balloon Text"/>
    <w:basedOn w:val="Normal"/>
    <w:link w:val="TextodegloboCar"/>
    <w:uiPriority w:val="99"/>
    <w:semiHidden/>
    <w:unhideWhenUsed/>
    <w:rsid w:val="004B09F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B09F9"/>
    <w:rPr>
      <w:rFonts w:ascii="Lucida Grande" w:hAnsi="Lucida Grande" w:cs="Lucida Grande"/>
      <w:sz w:val="18"/>
      <w:szCs w:val="18"/>
    </w:rPr>
  </w:style>
  <w:style w:type="character" w:styleId="Hipervnculo">
    <w:name w:val="Hyperlink"/>
    <w:uiPriority w:val="99"/>
    <w:unhideWhenUsed/>
    <w:rsid w:val="00D66039"/>
    <w:rPr>
      <w:color w:val="0563C1"/>
      <w:u w:val="single"/>
    </w:rPr>
  </w:style>
  <w:style w:type="paragraph" w:styleId="NormalWeb">
    <w:name w:val="Normal (Web)"/>
    <w:basedOn w:val="Normal"/>
    <w:uiPriority w:val="99"/>
    <w:unhideWhenUsed/>
    <w:rsid w:val="0033698F"/>
    <w:rPr>
      <w:rFonts w:ascii="Times New Roman" w:eastAsiaTheme="minorHAnsi" w:hAnsi="Times New Roman" w:cs="Times New Roman"/>
      <w:lang w:val="es-EC" w:eastAsia="es-EC"/>
    </w:rPr>
  </w:style>
  <w:style w:type="paragraph" w:styleId="Sinespaciado">
    <w:name w:val="No Spacing"/>
    <w:uiPriority w:val="1"/>
    <w:qFormat/>
    <w:rsid w:val="0033698F"/>
    <w:rPr>
      <w:rFonts w:eastAsiaTheme="minorHAnsi"/>
      <w:sz w:val="22"/>
      <w:szCs w:val="22"/>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24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443</Words>
  <Characters>2438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Torres Carolina</dc:creator>
  <cp:lastModifiedBy>Torres Carolina</cp:lastModifiedBy>
  <cp:revision>9</cp:revision>
  <dcterms:created xsi:type="dcterms:W3CDTF">2016-08-31T14:33:00Z</dcterms:created>
  <dcterms:modified xsi:type="dcterms:W3CDTF">2016-10-14T20:18:00Z</dcterms:modified>
</cp:coreProperties>
</file>